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3349BBB0" w:rsidR="008078C5" w:rsidRPr="001A518D" w:rsidRDefault="00FC14F8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 w:rsidRPr="00FC14F8">
                              <w:rPr>
                                <w:sz w:val="56"/>
                                <w:szCs w:val="56"/>
                              </w:rPr>
                              <w:t>Notice of Policy Audit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3349BBB0" w:rsidR="008078C5" w:rsidRPr="001A518D" w:rsidRDefault="00FC14F8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 w:rsidRPr="00FC14F8">
                        <w:rPr>
                          <w:sz w:val="56"/>
                          <w:szCs w:val="56"/>
                        </w:rPr>
                        <w:t>Notice of Policy Audit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79597B9A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  <w:p w14:paraId="6FBA1362" w14:textId="670A1482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103972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79597B9A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January 2026</w:t>
                      </w:r>
                    </w:p>
                    <w:p w14:paraId="6FBA1362" w14:textId="670A1482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103972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77777777" w:rsidR="008078C5" w:rsidRDefault="008078C5"/>
    <w:p w14:paraId="36714F27" w14:textId="77777777" w:rsidR="008078C5" w:rsidRDefault="008078C5"/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6782D504" w14:textId="5683F72E" w:rsidR="00FC14F8" w:rsidRPr="00FC14F8" w:rsidRDefault="00FC14F8" w:rsidP="00FC14F8">
      <w:pPr>
        <w:pStyle w:val="Default"/>
        <w:rPr>
          <w:rFonts w:ascii="Aptos" w:hAnsi="Aptos"/>
          <w:b/>
          <w:bCs/>
          <w:color w:val="0CA1FF" w:themeColor="text2" w:themeTint="99"/>
          <w:sz w:val="22"/>
          <w:szCs w:val="22"/>
        </w:rPr>
      </w:pPr>
      <w:r w:rsidRPr="00FC14F8">
        <w:rPr>
          <w:rFonts w:ascii="Aptos" w:hAnsi="Aptos"/>
          <w:b/>
          <w:bCs/>
          <w:color w:val="0CA1FF" w:themeColor="text2" w:themeTint="99"/>
          <w:sz w:val="22"/>
          <w:szCs w:val="22"/>
        </w:rPr>
        <w:lastRenderedPageBreak/>
        <w:t>Notice Template:</w:t>
      </w:r>
    </w:p>
    <w:p w14:paraId="345BF6A7" w14:textId="77777777" w:rsidR="00FC14F8" w:rsidRDefault="00FC14F8" w:rsidP="00FC14F8">
      <w:pPr>
        <w:pStyle w:val="Default"/>
        <w:rPr>
          <w:color w:val="auto"/>
        </w:rPr>
      </w:pPr>
    </w:p>
    <w:p w14:paraId="2132FA95" w14:textId="240E0E56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b/>
          <w:bCs/>
          <w:color w:val="auto"/>
          <w:sz w:val="22"/>
          <w:szCs w:val="22"/>
        </w:rPr>
        <w:t xml:space="preserve">Subject: </w:t>
      </w:r>
      <w:r w:rsidRPr="00FC14F8">
        <w:rPr>
          <w:rFonts w:ascii="Aptos" w:hAnsi="Aptos"/>
          <w:color w:val="auto"/>
          <w:sz w:val="22"/>
          <w:szCs w:val="22"/>
        </w:rPr>
        <w:t xml:space="preserve">Notice of Policy Audit – [Ministry Area] </w:t>
      </w:r>
    </w:p>
    <w:p w14:paraId="70CAF7B7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3BC3F0D5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Dear [Ministry Leader], </w:t>
      </w:r>
    </w:p>
    <w:p w14:paraId="25BB429B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66FAF8E3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This correspondence is to formally notify you that a policy audit will be conducted for the </w:t>
      </w:r>
      <w:r w:rsidRPr="00FC14F8">
        <w:rPr>
          <w:rFonts w:ascii="Aptos" w:hAnsi="Aptos"/>
          <w:b/>
          <w:bCs/>
          <w:color w:val="auto"/>
          <w:sz w:val="22"/>
          <w:szCs w:val="22"/>
        </w:rPr>
        <w:t>[ministry area]</w:t>
      </w:r>
      <w:r w:rsidRPr="00FC14F8">
        <w:rPr>
          <w:rFonts w:ascii="Aptos" w:hAnsi="Aptos"/>
          <w:color w:val="auto"/>
          <w:sz w:val="22"/>
          <w:szCs w:val="22"/>
        </w:rPr>
        <w:t xml:space="preserve">. </w:t>
      </w:r>
    </w:p>
    <w:p w14:paraId="63E99CE6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452B10AE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The purpose of this audit is to demonstrate due diligence and to ensure ongoing alignment with established policies and procedures. This audit should not be interpreted as a reflection of any concern regarding compliance or confidence in your leadership. </w:t>
      </w:r>
    </w:p>
    <w:p w14:paraId="52D53BBD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202BB27D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The scope of the policy audit will include: </w:t>
      </w:r>
    </w:p>
    <w:p w14:paraId="476B1FA1" w14:textId="7611EBC8" w:rsidR="00FC14F8" w:rsidRPr="00FC14F8" w:rsidRDefault="00FC14F8" w:rsidP="00FC14F8">
      <w:pPr>
        <w:pStyle w:val="Default"/>
        <w:numPr>
          <w:ilvl w:val="0"/>
          <w:numId w:val="44"/>
        </w:numPr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A review of relevant documentation </w:t>
      </w:r>
    </w:p>
    <w:p w14:paraId="73A9427F" w14:textId="288F529E" w:rsidR="00FC14F8" w:rsidRPr="00FC14F8" w:rsidRDefault="00FC14F8" w:rsidP="00FC14F8">
      <w:pPr>
        <w:pStyle w:val="Default"/>
        <w:numPr>
          <w:ilvl w:val="0"/>
          <w:numId w:val="44"/>
        </w:numPr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An on-site visit conducted outside of program hours </w:t>
      </w:r>
    </w:p>
    <w:p w14:paraId="3F68E844" w14:textId="1D612DB9" w:rsidR="00FC14F8" w:rsidRPr="00FC14F8" w:rsidRDefault="00FC14F8" w:rsidP="00FC14F8">
      <w:pPr>
        <w:pStyle w:val="Default"/>
        <w:numPr>
          <w:ilvl w:val="0"/>
          <w:numId w:val="44"/>
        </w:numPr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At least one on-site visit during program operations </w:t>
      </w:r>
    </w:p>
    <w:p w14:paraId="36A3425C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30358C1B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Upon completion of the audit, a written report will be provided outlining observations, recommendations, and any required corrective actions. A designated timeframe for compliance will be included. You will also </w:t>
      </w:r>
      <w:proofErr w:type="gramStart"/>
      <w:r w:rsidRPr="00FC14F8">
        <w:rPr>
          <w:rFonts w:ascii="Aptos" w:hAnsi="Aptos"/>
          <w:color w:val="auto"/>
          <w:sz w:val="22"/>
          <w:szCs w:val="22"/>
        </w:rPr>
        <w:t>have the opportunity to</w:t>
      </w:r>
      <w:proofErr w:type="gramEnd"/>
      <w:r w:rsidRPr="00FC14F8">
        <w:rPr>
          <w:rFonts w:ascii="Aptos" w:hAnsi="Aptos"/>
          <w:color w:val="auto"/>
          <w:sz w:val="22"/>
          <w:szCs w:val="22"/>
        </w:rPr>
        <w:t xml:space="preserve"> provide additional information or clarification for consideration during the audit process. </w:t>
      </w:r>
    </w:p>
    <w:p w14:paraId="5F5A4E98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114CA2A1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Please complete the attached questionnaire and submit it, along with copies of all applicable supporting documentation, no later than </w:t>
      </w:r>
      <w:r w:rsidRPr="00FC14F8">
        <w:rPr>
          <w:rFonts w:ascii="Aptos" w:hAnsi="Aptos"/>
          <w:b/>
          <w:bCs/>
          <w:color w:val="auto"/>
          <w:sz w:val="22"/>
          <w:szCs w:val="22"/>
        </w:rPr>
        <w:t>[due date]</w:t>
      </w:r>
      <w:r w:rsidRPr="00FC14F8">
        <w:rPr>
          <w:rFonts w:ascii="Aptos" w:hAnsi="Aptos"/>
          <w:color w:val="auto"/>
          <w:sz w:val="22"/>
          <w:szCs w:val="22"/>
        </w:rPr>
        <w:t xml:space="preserve">. If certain documentation is unavailable, please include a written explanation. </w:t>
      </w:r>
    </w:p>
    <w:p w14:paraId="7CC86797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4407C484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Should you have any questions or require clarification regarding this audit, please contact </w:t>
      </w:r>
      <w:r w:rsidRPr="00FC14F8">
        <w:rPr>
          <w:rFonts w:ascii="Aptos" w:hAnsi="Aptos"/>
          <w:b/>
          <w:bCs/>
          <w:color w:val="auto"/>
          <w:sz w:val="22"/>
          <w:szCs w:val="22"/>
        </w:rPr>
        <w:t>[Name of Leader/Auditor]</w:t>
      </w:r>
      <w:r w:rsidRPr="00FC14F8">
        <w:rPr>
          <w:rFonts w:ascii="Aptos" w:hAnsi="Aptos"/>
          <w:color w:val="auto"/>
          <w:sz w:val="22"/>
          <w:szCs w:val="22"/>
        </w:rPr>
        <w:t xml:space="preserve">. </w:t>
      </w:r>
    </w:p>
    <w:p w14:paraId="089ABDFE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790AE779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Thank you for your cooperation and continued commitment to organizational excellence. </w:t>
      </w:r>
    </w:p>
    <w:p w14:paraId="09FDD79F" w14:textId="77777777" w:rsidR="00FC14F8" w:rsidRP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</w:p>
    <w:p w14:paraId="1477F08D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Sincerely, </w:t>
      </w:r>
    </w:p>
    <w:p w14:paraId="2CC61BDC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[Your Name] </w:t>
      </w:r>
    </w:p>
    <w:p w14:paraId="56800850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[Title] </w:t>
      </w:r>
    </w:p>
    <w:p w14:paraId="0C560ADC" w14:textId="77777777" w:rsidR="00FC14F8" w:rsidRDefault="00FC14F8" w:rsidP="00FC14F8">
      <w:pPr>
        <w:pStyle w:val="Default"/>
        <w:spacing w:line="276" w:lineRule="auto"/>
        <w:rPr>
          <w:rFonts w:ascii="Aptos" w:hAnsi="Aptos"/>
          <w:color w:val="auto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 xml:space="preserve">[Church Name] </w:t>
      </w:r>
    </w:p>
    <w:p w14:paraId="7F39B177" w14:textId="08CBC520" w:rsidR="00782AE4" w:rsidRPr="00FC14F8" w:rsidRDefault="00FC14F8" w:rsidP="00FC14F8">
      <w:pPr>
        <w:pStyle w:val="Default"/>
        <w:spacing w:line="276" w:lineRule="auto"/>
        <w:rPr>
          <w:rFonts w:ascii="Aptos" w:hAnsi="Aptos"/>
          <w:sz w:val="22"/>
          <w:szCs w:val="22"/>
        </w:rPr>
      </w:pPr>
      <w:r w:rsidRPr="00FC14F8">
        <w:rPr>
          <w:rFonts w:ascii="Aptos" w:hAnsi="Aptos"/>
          <w:color w:val="auto"/>
          <w:sz w:val="22"/>
          <w:szCs w:val="22"/>
        </w:rPr>
        <w:t>[Contact Information]</w:t>
      </w:r>
    </w:p>
    <w:p w14:paraId="4A48B45C" w14:textId="77777777" w:rsidR="00FC14F8" w:rsidRPr="00FC14F8" w:rsidRDefault="00FC14F8">
      <w:pPr>
        <w:pStyle w:val="Default"/>
        <w:jc w:val="center"/>
        <w:rPr>
          <w:rFonts w:ascii="Aptos" w:hAnsi="Aptos"/>
          <w:sz w:val="22"/>
          <w:szCs w:val="22"/>
        </w:rPr>
      </w:pPr>
    </w:p>
    <w:sectPr w:rsidR="00FC14F8" w:rsidRPr="00FC14F8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B198" w14:textId="77777777" w:rsidR="00F8492E" w:rsidRDefault="00F8492E" w:rsidP="008078C5">
      <w:r>
        <w:separator/>
      </w:r>
    </w:p>
  </w:endnote>
  <w:endnote w:type="continuationSeparator" w:id="0">
    <w:p w14:paraId="4AC98F58" w14:textId="77777777" w:rsidR="00F8492E" w:rsidRDefault="00F8492E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70F8" w14:textId="77777777" w:rsidR="00F8492E" w:rsidRDefault="00F8492E" w:rsidP="008078C5">
      <w:r>
        <w:separator/>
      </w:r>
    </w:p>
  </w:footnote>
  <w:footnote w:type="continuationSeparator" w:id="0">
    <w:p w14:paraId="6F6BD5FB" w14:textId="77777777" w:rsidR="00F8492E" w:rsidRDefault="00F8492E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7FD7" w14:textId="77777777" w:rsidR="00FC14F8" w:rsidRPr="00FC14F8" w:rsidRDefault="00FC14F8" w:rsidP="00FC14F8">
    <w:pPr>
      <w:pStyle w:val="Header"/>
      <w:rPr>
        <w:rFonts w:ascii="Aptos Light" w:hAnsi="Aptos Light"/>
        <w:b/>
        <w:bCs/>
        <w:color w:val="0077C8" w:themeColor="accent1"/>
        <w:sz w:val="20"/>
        <w:szCs w:val="20"/>
      </w:rPr>
    </w:pPr>
    <w:r w:rsidRPr="00FC14F8">
      <w:rPr>
        <w:rFonts w:ascii="Aptos Light" w:hAnsi="Aptos Light"/>
        <w:b/>
        <w:bCs/>
        <w:color w:val="0077C8" w:themeColor="accent1"/>
        <w:sz w:val="20"/>
        <w:szCs w:val="20"/>
      </w:rPr>
      <w:t>Notice of Policy Audit Template</w:t>
    </w:r>
  </w:p>
  <w:p w14:paraId="42C257DC" w14:textId="649AE379" w:rsidR="008078C5" w:rsidRPr="002D233E" w:rsidRDefault="008078C5" w:rsidP="002D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45D6E"/>
    <w:multiLevelType w:val="hybridMultilevel"/>
    <w:tmpl w:val="51C6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72920"/>
    <w:multiLevelType w:val="hybridMultilevel"/>
    <w:tmpl w:val="039C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5365F"/>
    <w:multiLevelType w:val="hybridMultilevel"/>
    <w:tmpl w:val="219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BD39FF"/>
    <w:multiLevelType w:val="hybridMultilevel"/>
    <w:tmpl w:val="5988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4E19"/>
    <w:multiLevelType w:val="hybridMultilevel"/>
    <w:tmpl w:val="D28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6"/>
  </w:num>
  <w:num w:numId="2" w16cid:durableId="1584486926">
    <w:abstractNumId w:val="16"/>
  </w:num>
  <w:num w:numId="3" w16cid:durableId="507839596">
    <w:abstractNumId w:val="16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562328005">
    <w:abstractNumId w:val="13"/>
  </w:num>
  <w:num w:numId="41" w16cid:durableId="1058435281">
    <w:abstractNumId w:val="14"/>
  </w:num>
  <w:num w:numId="42" w16cid:durableId="1726565646">
    <w:abstractNumId w:val="17"/>
  </w:num>
  <w:num w:numId="43" w16cid:durableId="1689485179">
    <w:abstractNumId w:val="15"/>
  </w:num>
  <w:num w:numId="44" w16cid:durableId="1729376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103972"/>
    <w:rsid w:val="001304EB"/>
    <w:rsid w:val="00142F79"/>
    <w:rsid w:val="001742A7"/>
    <w:rsid w:val="001A518D"/>
    <w:rsid w:val="001C1FF0"/>
    <w:rsid w:val="00222CDA"/>
    <w:rsid w:val="00262B1D"/>
    <w:rsid w:val="00295443"/>
    <w:rsid w:val="002D233E"/>
    <w:rsid w:val="003426C2"/>
    <w:rsid w:val="003852E1"/>
    <w:rsid w:val="003F01C1"/>
    <w:rsid w:val="0043380B"/>
    <w:rsid w:val="00444B6C"/>
    <w:rsid w:val="004512E1"/>
    <w:rsid w:val="004654BA"/>
    <w:rsid w:val="004D7C5D"/>
    <w:rsid w:val="00515546"/>
    <w:rsid w:val="0054649E"/>
    <w:rsid w:val="005E4E18"/>
    <w:rsid w:val="00620678"/>
    <w:rsid w:val="00697366"/>
    <w:rsid w:val="006B1091"/>
    <w:rsid w:val="006C14F1"/>
    <w:rsid w:val="00782AE4"/>
    <w:rsid w:val="007B0DC2"/>
    <w:rsid w:val="008078C5"/>
    <w:rsid w:val="00836E7A"/>
    <w:rsid w:val="009745EC"/>
    <w:rsid w:val="00984848"/>
    <w:rsid w:val="00A16BA4"/>
    <w:rsid w:val="00AA73AB"/>
    <w:rsid w:val="00CC0857"/>
    <w:rsid w:val="00D64554"/>
    <w:rsid w:val="00DE44C0"/>
    <w:rsid w:val="00E022A6"/>
    <w:rsid w:val="00E1518A"/>
    <w:rsid w:val="00E62E76"/>
    <w:rsid w:val="00E70F01"/>
    <w:rsid w:val="00EA714B"/>
    <w:rsid w:val="00F017E3"/>
    <w:rsid w:val="00F17070"/>
    <w:rsid w:val="00F469D2"/>
    <w:rsid w:val="00F726FC"/>
    <w:rsid w:val="00F74E27"/>
    <w:rsid w:val="00F8492E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2D233E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2</TotalTime>
  <Pages>2</Pages>
  <Words>209</Words>
  <Characters>1256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4</cp:revision>
  <cp:lastPrinted>2026-01-12T16:52:00Z</cp:lastPrinted>
  <dcterms:created xsi:type="dcterms:W3CDTF">2026-01-13T18:24:00Z</dcterms:created>
  <dcterms:modified xsi:type="dcterms:W3CDTF">2026-03-02T19:17:00Z</dcterms:modified>
</cp:coreProperties>
</file>